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w:t>
      </w:r>
      <w:bookmarkStart w:colFirst="0" w:colLast="0" w:name="bookmark=id.gjdgxs" w:id="0"/>
      <w:bookmarkEnd w:id="0"/>
      <w:r w:rsidDel="00000000" w:rsidR="00000000" w:rsidRPr="00000000">
        <w:rPr>
          <w:rFonts w:ascii="Arial" w:cs="Arial" w:eastAsia="Arial" w:hAnsi="Arial"/>
          <w:color w:val="000000"/>
          <w:sz w:val="24"/>
          <w:szCs w:val="24"/>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2694"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6">
      <w:pPr>
        <w:numPr>
          <w:ilvl w:val="1"/>
          <w:numId w:val="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tabs>
          <w:tab w:val="left"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10215.0" w:type="dxa"/>
        <w:jc w:val="left"/>
        <w:tblInd w:w="-1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05"/>
        <w:gridCol w:w="8010"/>
        <w:tblGridChange w:id="0">
          <w:tblGrid>
            <w:gridCol w:w="2205"/>
            <w:gridCol w:w="8010"/>
          </w:tblGrid>
        </w:tblGridChange>
      </w:tblGrid>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b w:val="1"/>
                <w:sz w:val="24"/>
                <w:szCs w:val="24"/>
                <w:rtl w:val="0"/>
              </w:rPr>
              <w:t xml:space="preserve">Accounting  </w:t>
            </w:r>
          </w:p>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sz w:val="24"/>
                <w:szCs w:val="24"/>
              </w:rPr>
            </w:pPr>
            <w:bookmarkStart w:colFirst="0" w:colLast="0" w:name="_heading=h.6hf3doosxhki" w:id="4"/>
            <w:bookmarkEnd w:id="4"/>
            <w:r w:rsidDel="00000000" w:rsidR="00000000" w:rsidRPr="00000000">
              <w:rPr>
                <w:rFonts w:ascii="Arial" w:cs="Arial" w:eastAsia="Arial" w:hAnsi="Arial"/>
                <w:b w:val="1"/>
                <w:sz w:val="24"/>
                <w:szCs w:val="24"/>
                <w:rtl w:val="0"/>
              </w:rPr>
              <w:t xml:space="preserve">Reference Date”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each year the date to which the Supplier prepares its annual audited financial statements;</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"Achieve"</w:t>
            </w:r>
            <w:r w:rsidDel="00000000" w:rsidR="00000000" w:rsidRPr="00000000">
              <w:rPr>
                <w:rtl w:val="0"/>
              </w:rPr>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sz w:val="24"/>
                <w:szCs w:val="24"/>
                <w:rtl w:val="0"/>
              </w:rPr>
              <w:t xml:space="preserve">Achieved</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Achieving</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Achievement</w:t>
            </w:r>
            <w:r w:rsidDel="00000000" w:rsidR="00000000" w:rsidRPr="00000000">
              <w:rPr>
                <w:rFonts w:ascii="Arial" w:cs="Arial" w:eastAsia="Arial" w:hAnsi="Arial"/>
                <w:sz w:val="24"/>
                <w:szCs w:val="24"/>
                <w:rtl w:val="0"/>
              </w:rPr>
              <w:t xml:space="preserve">" shall be construed accordingly;</w:t>
            </w:r>
            <w:r w:rsidDel="00000000" w:rsidR="00000000" w:rsidRPr="00000000">
              <w:rPr>
                <w:rtl w:val="0"/>
              </w:rPr>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5">
            <w:pPr>
              <w:numPr>
                <w:ilvl w:val="0"/>
                <w:numId w:val="22"/>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7">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8">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9">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A">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B">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C">
            <w:pPr>
              <w:numPr>
                <w:ilvl w:val="0"/>
                <w:numId w:val="8"/>
              </w:numPr>
              <w:pBdr>
                <w:top w:space="0" w:sz="0" w:val="nil"/>
                <w:left w:space="0" w:sz="0" w:val="nil"/>
                <w:bottom w:space="0" w:sz="0" w:val="nil"/>
                <w:right w:space="0" w:sz="0" w:val="nil"/>
                <w:between w:space="0" w:sz="0" w:val="nil"/>
              </w:pBdr>
              <w:tabs>
                <w:tab w:val="left" w:pos="-179"/>
                <w:tab w:val="left"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or third sector purchaser identified as such in the Order Form;</w:t>
            </w:r>
          </w:p>
        </w:tc>
      </w:tr>
      <w:tr>
        <w:trPr>
          <w:cantSplit w:val="0"/>
          <w:tblHeader w:val="0"/>
        </w:trPr>
        <w:tc>
          <w:tcPr/>
          <w:p w:rsidR="00000000" w:rsidDel="00000000" w:rsidP="00000000" w:rsidRDefault="00000000" w:rsidRPr="00000000" w14:paraId="00000047">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a Call-Off Contract as stated in the Order Form;</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sz w:val="24"/>
                <w:szCs w:val="24"/>
              </w:rPr>
            </w:pPr>
            <w:r w:rsidDel="00000000" w:rsidR="00000000" w:rsidRPr="00000000">
              <w:rPr>
                <w:rFonts w:ascii="Arial" w:cs="Arial" w:eastAsia="Arial" w:hAnsi="Arial"/>
                <w:b w:val="1"/>
                <w:color w:val="000000"/>
                <w:sz w:val="24"/>
                <w:szCs w:val="24"/>
                <w:rtl w:val="0"/>
              </w:rPr>
              <w:t xml:space="preserve">"Call-Off Start Date"</w:t>
            </w:r>
            <w:r w:rsidDel="00000000" w:rsidR="00000000" w:rsidRPr="00000000">
              <w:rPr>
                <w:rtl w:val="0"/>
              </w:rPr>
            </w:r>
          </w:p>
        </w:tc>
        <w:tc>
          <w:tcPr/>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“Call-Off Support Rates”</w:t>
            </w:r>
            <w:r w:rsidDel="00000000" w:rsidR="00000000" w:rsidRPr="00000000">
              <w:rPr>
                <w:rtl w:val="0"/>
              </w:rPr>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Support Rates specified in a Call-Off Contract which shall be the same or better than the Framework Contract Support Rates;</w:t>
            </w:r>
            <w:r w:rsidDel="00000000" w:rsidR="00000000" w:rsidRPr="00000000">
              <w:rPr>
                <w:rtl w:val="0"/>
              </w:rPr>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6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6B">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6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6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w:t>
            </w:r>
          </w:p>
        </w:tc>
      </w:tr>
      <w:tr>
        <w:trPr>
          <w:cantSplit w:val="0"/>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3">
            <w:pPr>
              <w:pBdr>
                <w:top w:space="0" w:sz="0" w:val="nil"/>
                <w:left w:space="0" w:sz="0" w:val="nil"/>
                <w:bottom w:space="0" w:sz="0" w:val="nil"/>
                <w:right w:space="0" w:sz="0" w:val="nil"/>
                <w:between w:space="0" w:sz="0" w:val="nil"/>
              </w:pBdr>
              <w:tabs>
                <w:tab w:val="left" w:pos="-179"/>
                <w:tab w:val="left"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7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93">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94">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95">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96">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97">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98">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99">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9A">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9B">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9C">
            <w:pPr>
              <w:numPr>
                <w:ilvl w:val="2"/>
                <w:numId w:val="24"/>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9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9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9F">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pos="-179"/>
                <w:tab w:val="left"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1">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A2">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A3">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A4">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A5">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A6">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A7">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A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A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A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A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B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C4">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CA">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CB">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CC">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576"/>
                <w:tab w:val="left"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576"/>
                <w:tab w:val="left"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DD">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DE">
            <w:pPr>
              <w:numPr>
                <w:ilvl w:val="1"/>
                <w:numId w:val="24"/>
              </w:numPr>
              <w:pBdr>
                <w:top w:space="0" w:sz="0" w:val="nil"/>
                <w:left w:space="0" w:sz="0" w:val="nil"/>
                <w:bottom w:space="0" w:sz="0" w:val="nil"/>
                <w:right w:space="0" w:sz="0" w:val="nil"/>
                <w:between w:space="0" w:sz="0" w:val="nil"/>
              </w:pBdr>
              <w:tabs>
                <w:tab w:val="left" w:pos="-576"/>
                <w:tab w:val="left"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E6">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 :</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“Exempt Buyer”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public sector purchaser that is:</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eligible to use the Framework Contract; and</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entering into an Exempt Call-off Contract that is not subject to (as applicable) any of:</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Regulations;</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Concession Contracts Regulations 2016 (SI 2016/273);</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Utilities Contracts Regulations 2016 (SI 2016/274);</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Defence and Security Public Contracts Regulations 2011 (SI 2011/1848);</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Remedies Directive (2007/66/EC);</w:t>
            </w:r>
          </w:p>
          <w:p w:rsidR="00000000" w:rsidDel="00000000" w:rsidP="00000000" w:rsidRDefault="00000000" w:rsidRPr="00000000" w14:paraId="000000F5">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sz w:val="22"/>
                <w:szCs w:val="22"/>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0F6">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sz w:val="22"/>
                <w:szCs w:val="22"/>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0F7">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pPr>
            <w:r w:rsidDel="00000000" w:rsidR="00000000" w:rsidRPr="00000000">
              <w:rPr>
                <w:rFonts w:ascii="Arial" w:cs="Arial" w:eastAsia="Arial" w:hAnsi="Arial"/>
                <w:sz w:val="22"/>
                <w:szCs w:val="22"/>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0F8">
            <w:pPr>
              <w:numPr>
                <w:ilvl w:val="1"/>
                <w:numId w:val="18"/>
              </w:numPr>
              <w:pBdr>
                <w:top w:space="0" w:sz="0" w:val="nil"/>
                <w:left w:space="0" w:sz="0" w:val="nil"/>
                <w:bottom w:space="0" w:sz="0" w:val="nil"/>
                <w:right w:space="0" w:sz="0" w:val="nil"/>
                <w:between w:space="0" w:sz="0" w:val="nil"/>
              </w:pBdr>
              <w:tabs>
                <w:tab w:val="left" w:pos="-179"/>
                <w:tab w:val="left" w:pos="-9"/>
              </w:tabs>
              <w:spacing w:after="120" w:lineRule="auto"/>
              <w:ind w:left="814" w:hanging="360"/>
              <w:jc w:val="both"/>
              <w:rPr>
                <w:rFonts w:ascii="Arial" w:cs="Arial" w:eastAsia="Arial" w:hAnsi="Arial"/>
                <w:sz w:val="24"/>
                <w:szCs w:val="24"/>
              </w:rPr>
            </w:pPr>
            <w:r w:rsidDel="00000000" w:rsidR="00000000" w:rsidRPr="00000000">
              <w:rPr>
                <w:rFonts w:ascii="Arial" w:cs="Arial" w:eastAsia="Arial" w:hAnsi="Arial"/>
                <w:sz w:val="22"/>
                <w:szCs w:val="22"/>
                <w:rtl w:val="0"/>
              </w:rPr>
              <w:t xml:space="preserve">Directive 2009/81/EC of the European Parliament and Council;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“Exempt Call-off Contract”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20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ff0000"/>
                <w:sz w:val="24"/>
                <w:szCs w:val="24"/>
              </w:rPr>
            </w:pPr>
            <w:r w:rsidDel="00000000" w:rsidR="00000000" w:rsidRPr="00000000">
              <w:rPr>
                <w:rFonts w:ascii="Arial" w:cs="Arial" w:eastAsia="Arial" w:hAnsi="Arial"/>
                <w:b w:val="1"/>
                <w:sz w:val="24"/>
                <w:szCs w:val="24"/>
                <w:rtl w:val="0"/>
              </w:rPr>
              <w:t xml:space="preserve">“Exempt Procurement Amendments”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200" w:line="276"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rPr>
      </w:pPr>
      <w:r w:rsidDel="00000000" w:rsidR="00000000" w:rsidRPr="00000000">
        <w:rPr>
          <w:rtl w:val="0"/>
        </w:rPr>
      </w:r>
    </w:p>
    <w:tbl>
      <w:tblPr>
        <w:tblStyle w:val="Table3"/>
        <w:tblW w:w="10050.0" w:type="dxa"/>
        <w:jc w:val="left"/>
        <w:tblInd w:w="-3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15"/>
        <w:gridCol w:w="7335"/>
        <w:tblGridChange w:id="0">
          <w:tblGrid>
            <w:gridCol w:w="2715"/>
            <w:gridCol w:w="7335"/>
          </w:tblGrid>
        </w:tblGridChange>
      </w:tblGrid>
      <w:tr>
        <w:trPr>
          <w:cantSplit w:val="0"/>
          <w:tblHeader w:val="0"/>
        </w:trPr>
        <w:tc>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0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0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Reports”</w:t>
            </w:r>
            <w:r w:rsidDel="00000000" w:rsidR="00000000" w:rsidRPr="00000000">
              <w:rPr>
                <w:rtl w:val="0"/>
              </w:rPr>
            </w:r>
          </w:p>
        </w:tc>
        <w:tc>
          <w:tcPr/>
          <w:p w:rsidR="00000000" w:rsidDel="00000000" w:rsidP="00000000" w:rsidRDefault="00000000" w:rsidRPr="00000000" w14:paraId="00000107">
            <w:pPr>
              <w:tabs>
                <w:tab w:val="left" w:pos="-179"/>
                <w:tab w:val="left" w:pos="-9"/>
              </w:tabs>
              <w:spacing w:after="120" w:line="276.0005454545455" w:lineRule="auto"/>
              <w:ind w:left="16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report by the Supplier to the Buyer that:</w:t>
            </w:r>
          </w:p>
          <w:p w:rsidR="00000000" w:rsidDel="00000000" w:rsidP="00000000" w:rsidRDefault="00000000" w:rsidRPr="00000000" w14:paraId="00000108">
            <w:pPr>
              <w:tabs>
                <w:tab w:val="left" w:pos="-179"/>
                <w:tab w:val="left" w:pos="-9"/>
              </w:tabs>
              <w:spacing w:after="120" w:line="276.0005454545455"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Supplier Profit Margin forecast by the Supplier;</w:t>
            </w:r>
          </w:p>
          <w:p w:rsidR="00000000" w:rsidDel="00000000" w:rsidP="00000000" w:rsidRDefault="00000000" w:rsidRPr="00000000" w14:paraId="00000109">
            <w:pPr>
              <w:tabs>
                <w:tab w:val="left" w:pos="-179"/>
                <w:tab w:val="left" w:pos="-9"/>
              </w:tabs>
              <w:spacing w:after="120" w:line="276.0005454545455"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provides a true and fair reflection of the costs and expenses to be incurred by Key Subcontractors (as requested by the Buyer);</w:t>
            </w:r>
          </w:p>
          <w:p w:rsidR="00000000" w:rsidDel="00000000" w:rsidP="00000000" w:rsidRDefault="00000000" w:rsidRPr="00000000" w14:paraId="0000010A">
            <w:pPr>
              <w:tabs>
                <w:tab w:val="left" w:pos="-179"/>
                <w:tab w:val="left" w:pos="-9"/>
              </w:tabs>
              <w:spacing w:after="120" w:line="276.0005454545455" w:lineRule="auto"/>
              <w:ind w:left="700" w:hanging="2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certified by the Supplier’s Chief Financial Officer or Director of Finance;</w:t>
            </w:r>
          </w:p>
        </w:tc>
      </w:tr>
      <w:tr>
        <w:trPr>
          <w:cantSplit w:val="0"/>
          <w:tblHeader w:val="0"/>
        </w:trPr>
        <w:tc>
          <w:tcPr/>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0">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1">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12">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13">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agreement established between CCS and the Supplier</w:t>
            </w:r>
            <w:r w:rsidDel="00000000" w:rsidR="00000000" w:rsidRPr="00000000">
              <w:rPr>
                <w:rFonts w:ascii="Arial" w:cs="Arial" w:eastAsia="Arial" w:hAnsi="Arial"/>
                <w:sz w:val="24"/>
                <w:szCs w:val="24"/>
                <w:rtl w:val="0"/>
              </w:rPr>
              <w:t xml:space="preserve"> in accordance with Regulation 33 by </w:t>
            </w:r>
            <w:r w:rsidDel="00000000" w:rsidR="00000000" w:rsidRPr="00000000">
              <w:rPr>
                <w:rFonts w:ascii="Arial" w:cs="Arial" w:eastAsia="Arial" w:hAnsi="Arial"/>
                <w:color w:val="000000"/>
                <w:sz w:val="24"/>
                <w:szCs w:val="24"/>
                <w:rtl w:val="0"/>
              </w:rPr>
              <w:t xml:space="preserve">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“Framework Contract Support Rates”</w:t>
            </w:r>
            <w:r w:rsidDel="00000000" w:rsidR="00000000" w:rsidRPr="00000000">
              <w:rPr>
                <w:rtl w:val="0"/>
              </w:rPr>
            </w:r>
          </w:p>
        </w:tc>
        <w:tc>
          <w:tcPr/>
          <w:p w:rsidR="00000000" w:rsidDel="00000000" w:rsidP="00000000" w:rsidRDefault="00000000" w:rsidRPr="00000000" w14:paraId="0000011E">
            <w:pPr>
              <w:tabs>
                <w:tab w:val="left" w:pos="-179"/>
                <w:tab w:val="left" w:pos="-9"/>
              </w:tabs>
              <w:spacing w:after="120" w:lineRule="auto"/>
              <w:ind w:left="320" w:hanging="160"/>
              <w:jc w:val="both"/>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means the discounts set out in Framework Schedule 3 Annex (Supplier’s Charging Structure) and/or the fleet portal from time to time;</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“Framework Support Rate Discount”</w:t>
            </w:r>
            <w:r w:rsidDel="00000000" w:rsidR="00000000" w:rsidRPr="00000000">
              <w:rPr>
                <w:rtl w:val="0"/>
              </w:rPr>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discounts in the tender submitted by the Supplier to CCS and as set out on the fleet portal from time to time;</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2">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and </w:t>
            </w:r>
          </w:p>
          <w:p w:rsidR="00000000" w:rsidDel="00000000" w:rsidP="00000000" w:rsidRDefault="00000000" w:rsidRPr="00000000" w14:paraId="00000133">
            <w:pPr>
              <w:numPr>
                <w:ilvl w:val="1"/>
                <w:numId w:val="2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Gold Contract”                  </w:t>
            </w:r>
            <w:r w:rsidDel="00000000" w:rsidR="00000000" w:rsidRPr="00000000">
              <w:rPr>
                <w:rtl w:val="0"/>
              </w:rPr>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r w:rsidDel="00000000" w:rsidR="00000000" w:rsidRPr="00000000">
              <w:rPr>
                <w:rtl w:val="0"/>
              </w:rPr>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 ;</w:t>
            </w:r>
          </w:p>
        </w:tc>
      </w:tr>
      <w:tr>
        <w:trPr>
          <w:cantSplit w:val="0"/>
          <w:tblHeader w:val="0"/>
        </w:trPr>
        <w:tc>
          <w:tcPr/>
          <w:p w:rsidR="00000000" w:rsidDel="00000000" w:rsidP="00000000" w:rsidRDefault="00000000" w:rsidRPr="00000000" w14:paraId="0000013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0">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1">
            <w:pPr>
              <w:numPr>
                <w:ilvl w:val="2"/>
                <w:numId w:val="23"/>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44">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4F">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0">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any alteration in the resources and/or expenditure required by either Party and any alteration to the working practices of either Party;</w:t>
            </w:r>
          </w:p>
          <w:p w:rsidR="00000000" w:rsidDel="00000000" w:rsidP="00000000" w:rsidRDefault="00000000" w:rsidRPr="00000000" w14:paraId="00000151">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52">
            <w:pPr>
              <w:numPr>
                <w:ilvl w:val="1"/>
                <w:numId w:val="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5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5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w:t>
            </w:r>
            <w:r w:rsidDel="00000000" w:rsidR="00000000" w:rsidRPr="00000000">
              <w:rPr>
                <w:rFonts w:ascii="Arial" w:cs="Arial" w:eastAsia="Arial" w:hAnsi="Arial"/>
                <w:sz w:val="24"/>
                <w:szCs w:val="24"/>
                <w:rtl w:val="0"/>
              </w:rPr>
              <w:t xml:space="preserve">Charges</w:t>
            </w:r>
            <w:r w:rsidDel="00000000" w:rsidR="00000000" w:rsidRPr="00000000">
              <w:rPr>
                <w:rFonts w:ascii="Arial" w:cs="Arial" w:eastAsia="Arial" w:hAnsi="Arial"/>
                <w:color w:val="000000"/>
                <w:sz w:val="24"/>
                <w:szCs w:val="24"/>
                <w:rtl w:val="0"/>
              </w:rPr>
              <w:t xml:space="preserve">) and the relevant Order Form;</w:t>
            </w:r>
          </w:p>
        </w:tc>
      </w:tr>
      <w:tr>
        <w:trPr>
          <w:cantSplit w:val="0"/>
          <w:tblHeader w:val="0"/>
        </w:trPr>
        <w:tc>
          <w:tcPr/>
          <w:p w:rsidR="00000000" w:rsidDel="00000000" w:rsidP="00000000" w:rsidRDefault="00000000" w:rsidRPr="00000000" w14:paraId="0000015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6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6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6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71">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72">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73">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rHeight w:val="1875" w:hRule="atLeast"/>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International Organization for Standardization;</w:t>
            </w:r>
            <w:r w:rsidDel="00000000" w:rsidR="00000000" w:rsidRPr="00000000">
              <w:rPr>
                <w:rtl w:val="0"/>
              </w:rPr>
            </w:r>
          </w:p>
        </w:tc>
      </w:tr>
      <w:tr>
        <w:trPr>
          <w:cantSplit w:val="0"/>
          <w:tblHeader w:val="0"/>
        </w:trPr>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86">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87">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88">
            <w:pPr>
              <w:numPr>
                <w:ilvl w:val="1"/>
                <w:numId w:val="1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576"/>
                <w:tab w:val="left"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8A">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shd w:fill="ffd966" w:val="clear"/>
              </w:rPr>
            </w:pPr>
            <w:r w:rsidDel="00000000" w:rsidR="00000000" w:rsidRPr="00000000">
              <w:rPr>
                <w:rFonts w:ascii="Arial" w:cs="Arial" w:eastAsia="Arial" w:hAnsi="Arial"/>
                <w:b w:val="1"/>
                <w:color w:val="000000"/>
                <w:sz w:val="24"/>
                <w:szCs w:val="24"/>
                <w:rtl w:val="0"/>
              </w:rPr>
              <w:t xml:space="preserve">  “Manufacturer”</w:t>
            </w:r>
            <w:r w:rsidDel="00000000" w:rsidR="00000000" w:rsidRPr="00000000">
              <w:rPr>
                <w:rtl w:val="0"/>
              </w:rPr>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lead representative organisation of particular vehicle brands which adopts full management responsibility for all aspects of vehicle importation, distribution, delivery, sales, after sales and warranty/recall activities within the UK marketplace and will take responsibility for the management of the relevant UK dealership network.</w:t>
            </w:r>
          </w:p>
        </w:tc>
      </w:tr>
      <w:tr>
        <w:trPr>
          <w:cantSplit w:val="0"/>
          <w:tblHeader w:val="0"/>
        </w:trPr>
        <w:tc>
          <w:tcPr/>
          <w:p w:rsidR="00000000" w:rsidDel="00000000" w:rsidP="00000000" w:rsidRDefault="00000000" w:rsidRPr="00000000" w14:paraId="0000019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9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9C">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9D">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9E">
            <w:pPr>
              <w:numPr>
                <w:ilvl w:val="1"/>
                <w:numId w:val="16"/>
              </w:numPr>
              <w:pBdr>
                <w:top w:space="0" w:sz="0" w:val="nil"/>
                <w:left w:space="0" w:sz="0" w:val="nil"/>
                <w:bottom w:space="0" w:sz="0" w:val="nil"/>
                <w:right w:space="0" w:sz="0" w:val="nil"/>
                <w:between w:space="0" w:sz="0" w:val="nil"/>
              </w:pBdr>
              <w:tabs>
                <w:tab w:val="left" w:pos="-576"/>
                <w:tab w:val="left"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A0">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179"/>
                <w:tab w:val="left"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w:t>
            </w:r>
            <w:r w:rsidDel="00000000" w:rsidR="00000000" w:rsidRPr="00000000">
              <w:rPr>
                <w:rFonts w:ascii="Arial" w:cs="Arial" w:eastAsia="Arial" w:hAnsi="Arial"/>
                <w:sz w:val="24"/>
                <w:szCs w:val="24"/>
                <w:rtl w:val="0"/>
              </w:rPr>
              <w:t xml:space="preserve">as agreed between the Buyer and Supplier</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by which the Milestone must be Achieved;</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MRP"</w:t>
            </w:r>
            <w:r w:rsidDel="00000000" w:rsidR="00000000" w:rsidRPr="00000000">
              <w:rPr>
                <w:rtl w:val="0"/>
              </w:rPr>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price of a vehicle exclusive of VAT, delivery to dealer, number plates, statutory first registration fee and vehicle excise duty;</w:t>
            </w:r>
            <w:r w:rsidDel="00000000" w:rsidR="00000000" w:rsidRPr="00000000">
              <w:rPr>
                <w:rtl w:val="0"/>
              </w:rPr>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AE">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AF">
            <w:pPr>
              <w:numPr>
                <w:ilvl w:val="1"/>
                <w:numId w:val="1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B3">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B4">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B5">
            <w:pPr>
              <w:numPr>
                <w:ilvl w:val="2"/>
                <w:numId w:val="19"/>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B6">
            <w:pPr>
              <w:numPr>
                <w:ilvl w:val="1"/>
                <w:numId w:val="19"/>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B9">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BA">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BB">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BC">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BD">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BE">
            <w:pPr>
              <w:numPr>
                <w:ilvl w:val="2"/>
                <w:numId w:val="12"/>
              </w:numPr>
              <w:pBdr>
                <w:top w:space="0" w:sz="0" w:val="nil"/>
                <w:left w:space="0" w:sz="0" w:val="nil"/>
                <w:bottom w:space="0" w:sz="0" w:val="nil"/>
                <w:right w:space="0" w:sz="0" w:val="nil"/>
                <w:between w:space="0" w:sz="0" w:val="nil"/>
              </w:pBdr>
              <w:tabs>
                <w:tab w:val="left" w:pos="-576"/>
                <w:tab w:val="left"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BF">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0">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1">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C2">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C3">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C4">
            <w:pPr>
              <w:numPr>
                <w:ilvl w:val="1"/>
                <w:numId w:val="12"/>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Framework Schedule 6A (Simple Order Form) (or equivalent information issued by the Buyer) used to create a Call-Off Contract;</w:t>
            </w:r>
          </w:p>
        </w:tc>
      </w:tr>
      <w:tr>
        <w:trPr>
          <w:cantSplit w:val="0"/>
          <w:tblHeader w:val="0"/>
        </w:trPr>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shd w:fill="f1c232" w:val="clear"/>
              </w:rPr>
            </w:pPr>
            <w:r w:rsidDel="00000000" w:rsidR="00000000" w:rsidRPr="00000000">
              <w:rPr>
                <w:rFonts w:ascii="Arial" w:cs="Arial" w:eastAsia="Arial" w:hAnsi="Arial"/>
                <w:color w:val="000000"/>
                <w:sz w:val="24"/>
                <w:szCs w:val="24"/>
                <w:rtl w:val="0"/>
              </w:rPr>
              <w:t xml:space="preserve">the template in Framework Schedule 6 (Order Form Template and Call-Off Schedules) or Framework Schedule 6A (Simple Order Form);</w:t>
            </w:r>
            <w:r w:rsidDel="00000000" w:rsidR="00000000" w:rsidRPr="00000000">
              <w:rPr>
                <w:rtl w:val="0"/>
              </w:rPr>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Other Charges”</w:t>
            </w:r>
            <w:r w:rsidDel="00000000" w:rsidR="00000000" w:rsidRPr="00000000">
              <w:rPr>
                <w:rtl w:val="0"/>
              </w:rPr>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values, rates or amounts set out in Framework Schedule 3 Annex 1 Supplier’s Charging Structure;</w:t>
            </w:r>
            <w:r w:rsidDel="00000000" w:rsidR="00000000" w:rsidRPr="00000000">
              <w:rPr>
                <w:rtl w:val="0"/>
              </w:rPr>
            </w:r>
          </w:p>
        </w:tc>
      </w:tr>
      <w:tr>
        <w:trPr>
          <w:cantSplit w:val="0"/>
          <w:tblHeader w:val="0"/>
        </w:trPr>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CF">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1">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a Party and/or of any Subcontractor and/or Subprocessor engaged in the performance of its obligations under a Contract;</w:t>
            </w:r>
          </w:p>
        </w:tc>
      </w:tr>
      <w:tr>
        <w:trPr>
          <w:cantSplit w:val="0"/>
          <w:tblHeader w:val="0"/>
        </w:trPr>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EC">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ED">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1EE">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1EF">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1F0">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1F1">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1F2">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1F3">
            <w:pPr>
              <w:numPr>
                <w:ilvl w:val="2"/>
                <w:numId w:val="13"/>
              </w:numPr>
              <w:pBdr>
                <w:top w:space="0" w:sz="0" w:val="nil"/>
                <w:left w:space="0" w:sz="0" w:val="nil"/>
                <w:bottom w:space="0" w:sz="0" w:val="nil"/>
                <w:right w:space="0" w:sz="0" w:val="nil"/>
                <w:between w:space="0" w:sz="0" w:val="nil"/>
              </w:pBdr>
              <w:tabs>
                <w:tab w:val="left" w:pos="-179"/>
                <w:tab w:val="left"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1F4">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Rating Agency”</w:t>
            </w:r>
            <w:r w:rsidDel="00000000" w:rsidR="00000000" w:rsidRPr="00000000">
              <w:rPr>
                <w:rtl w:val="0"/>
              </w:rPr>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as defined in the Framework Award Form or the Order Form,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1F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1FF">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00">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01">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03">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ff0000"/>
                <w:sz w:val="24"/>
                <w:szCs w:val="24"/>
              </w:rPr>
            </w:pPr>
            <w:r w:rsidDel="00000000" w:rsidR="00000000" w:rsidRPr="00000000">
              <w:rPr>
                <w:rFonts w:ascii="Arial" w:cs="Arial" w:eastAsia="Arial" w:hAnsi="Arial"/>
                <w:b w:val="1"/>
                <w:color w:val="ff0000"/>
                <w:sz w:val="24"/>
                <w:szCs w:val="24"/>
                <w:rtl w:val="0"/>
              </w:rPr>
              <w:t xml:space="preserve">"</w:t>
            </w:r>
            <w:r w:rsidDel="00000000" w:rsidR="00000000" w:rsidRPr="00000000">
              <w:rPr>
                <w:rFonts w:ascii="Arial" w:cs="Arial" w:eastAsia="Arial" w:hAnsi="Arial"/>
                <w:b w:val="1"/>
                <w:color w:val="000000"/>
                <w:sz w:val="24"/>
                <w:szCs w:val="24"/>
                <w:rtl w:val="0"/>
              </w:rPr>
              <w:t xml:space="preserve">Regulations"</w:t>
            </w:r>
            <w:r w:rsidDel="00000000" w:rsidR="00000000" w:rsidRPr="00000000">
              <w:rPr>
                <w:rtl w:val="0"/>
              </w:rPr>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ff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r w:rsidDel="00000000" w:rsidR="00000000" w:rsidRPr="00000000">
              <w:rPr>
                <w:rtl w:val="0"/>
              </w:rPr>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08">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09">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0D">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0E">
            <w:pPr>
              <w:numPr>
                <w:ilvl w:val="1"/>
                <w:numId w:val="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1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985"/>
                <w:tab w:val="left"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18">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  “Requesting Bodies”</w:t>
            </w:r>
            <w:r w:rsidDel="00000000" w:rsidR="00000000" w:rsidRPr="00000000">
              <w:rPr>
                <w:rtl w:val="0"/>
              </w:rPr>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means a supplier appointed to the CCS framework agreement for Vehicle Lease, Fleet Management and Flexible Rental Solutions (RM6096) and its successor agreements which has the benefit of the Framework Contract Support Rates;</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2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2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3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34">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3A">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3B">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46">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47">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48">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49">
            <w:pPr>
              <w:numPr>
                <w:ilvl w:val="1"/>
                <w:numId w:val="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 Terms"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terms identified for incorporation into a Call-Off Contract listed in Annex A to Framework Schedule 6A (Simple Order Form);</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4E">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5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52">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54">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55">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56">
            <w:pPr>
              <w:numPr>
                <w:ilvl w:val="1"/>
                <w:numId w:val="14"/>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5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5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5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5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5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6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62">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63">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64">
            <w:pPr>
              <w:numPr>
                <w:ilvl w:val="1"/>
                <w:numId w:val="21"/>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134"/>
              </w:tabs>
              <w:spacing w:after="120" w:before="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"Supplier's Contract Manager </w:t>
            </w:r>
            <w:r w:rsidDel="00000000" w:rsidR="00000000" w:rsidRPr="00000000">
              <w:rPr>
                <w:rtl w:val="0"/>
              </w:rPr>
            </w:r>
          </w:p>
        </w:tc>
        <w:tc>
          <w:tcPr/>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134"/>
              </w:tabs>
              <w:spacing w:after="120" w:before="120" w:lineRule="auto"/>
              <w:ind w:left="928" w:hanging="36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6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6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6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6D">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6E">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6F">
            <w:pPr>
              <w:numPr>
                <w:ilvl w:val="1"/>
                <w:numId w:val="15"/>
              </w:numPr>
              <w:pBdr>
                <w:top w:space="0" w:sz="0" w:val="nil"/>
                <w:left w:space="0" w:sz="0" w:val="nil"/>
                <w:bottom w:space="0" w:sz="0" w:val="nil"/>
                <w:right w:space="0" w:sz="0" w:val="nil"/>
                <w:between w:space="0" w:sz="0" w:val="nil"/>
              </w:pBdr>
              <w:tabs>
                <w:tab w:val="left" w:pos="-576"/>
                <w:tab w:val="left"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79">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7A">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7B">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7C">
            <w:pPr>
              <w:numPr>
                <w:ilvl w:val="0"/>
                <w:numId w:val="6"/>
              </w:numPr>
              <w:pBdr>
                <w:top w:space="0" w:sz="0" w:val="nil"/>
                <w:left w:space="0" w:sz="0" w:val="nil"/>
                <w:bottom w:space="0" w:sz="0" w:val="nil"/>
                <w:right w:space="0" w:sz="0" w:val="nil"/>
                <w:between w:space="0" w:sz="0" w:val="nil"/>
              </w:pBdr>
              <w:tabs>
                <w:tab w:val="left" w:pos="-179"/>
                <w:tab w:val="left"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80">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84">
            <w:pPr>
              <w:numPr>
                <w:ilvl w:val="1"/>
                <w:numId w:val="7"/>
              </w:numPr>
              <w:pBdr>
                <w:top w:space="0" w:sz="0" w:val="nil"/>
                <w:left w:space="0" w:sz="0" w:val="nil"/>
                <w:bottom w:space="0" w:sz="0" w:val="nil"/>
                <w:right w:space="0" w:sz="0" w:val="nil"/>
                <w:between w:space="0" w:sz="0" w:val="nil"/>
              </w:pBdr>
              <w:tabs>
                <w:tab w:val="left" w:pos="-576"/>
                <w:tab w:val="left"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85">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86">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88">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8C">
            <w:pPr>
              <w:keepNext w:val="1"/>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8D">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8E">
            <w:pPr>
              <w:keepNext w:val="1"/>
              <w:pBdr>
                <w:top w:space="0" w:sz="0" w:val="nil"/>
                <w:left w:space="0" w:sz="0" w:val="nil"/>
                <w:bottom w:space="0" w:sz="0" w:val="nil"/>
                <w:right w:space="0" w:sz="0" w:val="nil"/>
                <w:between w:space="0" w:sz="0" w:val="nil"/>
              </w:pBdr>
              <w:tabs>
                <w:tab w:val="left" w:pos="-179"/>
                <w:tab w:val="left" w:pos="-9"/>
              </w:tabs>
              <w:spacing w:after="120"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8F">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p w:rsidR="00000000" w:rsidDel="00000000" w:rsidP="00000000" w:rsidRDefault="00000000" w:rsidRPr="00000000" w14:paraId="00000290">
            <w:pPr>
              <w:keepNext w:val="1"/>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4">
            <w:pPr>
              <w:tabs>
                <w:tab w:val="left" w:pos="-179"/>
                <w:tab w:val="left" w:pos="-9"/>
              </w:tabs>
              <w:spacing w:after="120" w:line="276.0005454545455"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296">
            <w:pPr>
              <w:tabs>
                <w:tab w:val="left" w:pos="-179"/>
                <w:tab w:val="left" w:pos="-9"/>
              </w:tabs>
              <w:spacing w:after="120" w:line="276.0005454545455" w:lineRule="auto"/>
              <w:ind w:left="160" w:firstLine="0"/>
              <w:jc w:val="both"/>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rPr>
          <w:cantSplit w:val="0"/>
          <w:tblHeader w:val="0"/>
        </w:trPr>
        <w:tc>
          <w:tcPr/>
          <w:p w:rsidR="00000000" w:rsidDel="00000000" w:rsidP="00000000" w:rsidRDefault="00000000" w:rsidRPr="00000000" w14:paraId="0000029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A1">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A3">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A5">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7.5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A7">
            <w:pPr>
              <w:pBdr>
                <w:top w:space="0" w:sz="0" w:val="nil"/>
                <w:left w:space="0" w:sz="0" w:val="nil"/>
                <w:bottom w:space="0" w:sz="0" w:val="nil"/>
                <w:right w:space="0" w:sz="0" w:val="nil"/>
                <w:between w:space="0" w:sz="0" w:val="nil"/>
              </w:pBdr>
              <w:spacing w:after="120" w:lineRule="auto"/>
              <w:ind w:left="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A9">
      <w:pPr>
        <w:spacing w:after="0" w:line="240" w:lineRule="auto"/>
        <w:rPr>
          <w:rFonts w:ascii="Arial" w:cs="Arial" w:eastAsia="Arial" w:hAnsi="Arial"/>
          <w:sz w:val="24"/>
          <w:szCs w:val="24"/>
        </w:rPr>
      </w:pPr>
      <w:bookmarkStart w:colFirst="0" w:colLast="0" w:name="_heading=h.gjdgxs" w:id="5"/>
      <w:bookmarkEnd w:id="5"/>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B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RM6244</w:t>
      <w:tab/>
      <w:t xml:space="preserve">                                           </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B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21</w:t>
    </w: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644" w:hanging="357.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RtrhB76tTeEitySHlZWEuJuw2MQ==">AMUW2mXQphNBv9/uynskzxSnIT5Z2Dnr7+3wwBSD+kuUEBazK1oMrP2JNXX/1g9oKQsUjc5w6CksCDFsmuSKFRSgCwLR36u73HVHk3sVMyBoIF3VhhnhMzPPW+eOtSYZ7PIOR/e3uzTQGqPEAAohBgsj1q3aes9IpQdEcfFoRMczL2VOBReaqM5y9dLOQ2UgKPUvni76M+GOPm+K0Gbe2M/GY7yUaAaSiw==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2022-03-14T10:41:00Z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